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13" w:rsidRDefault="00E803E9">
      <w:pPr>
        <w:spacing w:after="5" w:line="269" w:lineRule="auto"/>
        <w:ind w:left="4104" w:hanging="10"/>
        <w:jc w:val="center"/>
      </w:pPr>
      <w:bookmarkStart w:id="0" w:name="_GoBack"/>
      <w:bookmarkEnd w:id="0"/>
      <w:r>
        <w:t xml:space="preserve">Утверждено </w:t>
      </w:r>
    </w:p>
    <w:p w:rsidR="00897A13" w:rsidRDefault="00E803E9">
      <w:pPr>
        <w:ind w:left="6381" w:right="211" w:firstLine="0"/>
      </w:pPr>
      <w:r>
        <w:t xml:space="preserve">приказом министра образования Московской области от </w:t>
      </w:r>
      <w:proofErr w:type="gramStart"/>
      <w:r>
        <w:rPr>
          <w:u w:val="single" w:color="000000"/>
        </w:rPr>
        <w:t>06.11.2014</w:t>
      </w:r>
      <w:r>
        <w:t xml:space="preserve">  №</w:t>
      </w:r>
      <w:proofErr w:type="gramEnd"/>
      <w:r>
        <w:t xml:space="preserve">  </w:t>
      </w:r>
      <w:r>
        <w:rPr>
          <w:u w:val="single" w:color="000000"/>
        </w:rPr>
        <w:t>5021</w:t>
      </w:r>
      <w:r>
        <w:t xml:space="preserve">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spacing w:after="31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spacing w:after="37" w:line="249" w:lineRule="auto"/>
        <w:ind w:left="10" w:right="7" w:hanging="10"/>
        <w:jc w:val="center"/>
      </w:pPr>
      <w:r>
        <w:rPr>
          <w:b/>
        </w:rPr>
        <w:t xml:space="preserve">Положение об оплате труда специалистов </w:t>
      </w:r>
    </w:p>
    <w:p w:rsidR="00897A13" w:rsidRDefault="00E803E9">
      <w:pPr>
        <w:spacing w:after="10" w:line="249" w:lineRule="auto"/>
        <w:ind w:left="10" w:right="11" w:hanging="10"/>
        <w:jc w:val="center"/>
      </w:pPr>
      <w:r>
        <w:rPr>
          <w:b/>
        </w:rPr>
        <w:t xml:space="preserve">экспертных групп при аттестационных комиссиях Министерства образования </w:t>
      </w:r>
    </w:p>
    <w:p w:rsidR="00897A13" w:rsidRDefault="00E803E9">
      <w:pPr>
        <w:spacing w:after="10" w:line="249" w:lineRule="auto"/>
        <w:ind w:left="10" w:hanging="10"/>
        <w:jc w:val="center"/>
      </w:pPr>
      <w:r>
        <w:rPr>
          <w:b/>
        </w:rPr>
        <w:t xml:space="preserve">Московской области по аттестации педагогических работников государственных организаций Московской области, осуществляющих образовательную деятельность, </w:t>
      </w:r>
    </w:p>
    <w:p w:rsidR="00897A13" w:rsidRDefault="00E803E9">
      <w:pPr>
        <w:spacing w:after="10" w:line="249" w:lineRule="auto"/>
        <w:ind w:left="10" w:right="13" w:hanging="10"/>
        <w:jc w:val="center"/>
      </w:pPr>
      <w:r>
        <w:rPr>
          <w:b/>
        </w:rPr>
        <w:t xml:space="preserve">руководителей государственных образовательных организаций Московской области, </w:t>
      </w:r>
    </w:p>
    <w:p w:rsidR="00897A13" w:rsidRDefault="00E803E9">
      <w:pPr>
        <w:spacing w:after="10" w:line="249" w:lineRule="auto"/>
        <w:ind w:left="10" w:hanging="10"/>
        <w:jc w:val="center"/>
      </w:pPr>
      <w:r>
        <w:rPr>
          <w:b/>
        </w:rPr>
        <w:t>подведомственных Министе</w:t>
      </w:r>
      <w:r>
        <w:rPr>
          <w:b/>
        </w:rPr>
        <w:t xml:space="preserve">рству образования Московской области, и педагогических работников муниципальных и частных организаций в Московской области, осуществляющих образовательную деятельность </w:t>
      </w:r>
    </w:p>
    <w:p w:rsidR="00897A13" w:rsidRDefault="00E803E9">
      <w:pPr>
        <w:spacing w:after="17" w:line="259" w:lineRule="auto"/>
        <w:ind w:left="54" w:firstLine="0"/>
        <w:jc w:val="center"/>
      </w:pPr>
      <w:r>
        <w:rPr>
          <w:b/>
        </w:rPr>
        <w:t xml:space="preserve"> </w:t>
      </w:r>
    </w:p>
    <w:p w:rsidR="00897A13" w:rsidRDefault="00E803E9">
      <w:pPr>
        <w:spacing w:after="5" w:line="269" w:lineRule="auto"/>
        <w:ind w:left="933" w:right="929" w:hanging="10"/>
        <w:jc w:val="center"/>
      </w:pPr>
      <w:r>
        <w:t xml:space="preserve">I. Общие положения </w:t>
      </w:r>
    </w:p>
    <w:p w:rsidR="00897A13" w:rsidRDefault="00E803E9">
      <w:pPr>
        <w:spacing w:after="23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Настоящее Положение об оплате труда специалистов </w:t>
      </w:r>
      <w:r>
        <w:t>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области, осуществляющих образовательную деятельность, руководителей государственных обр</w:t>
      </w:r>
      <w:r>
        <w:t>азовательных организаций Московской области, подведомственных Министерству образования Московской области, и педагогических работников муниципальных и частных организаций в Московской области, осуществляющих образовательную деятельность (далее, соответстве</w:t>
      </w:r>
      <w:r>
        <w:t>нно - Положение) разработано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</w:t>
      </w:r>
      <w:r>
        <w:t xml:space="preserve"> и Положением об экспертной группе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области, осуществляющих образовательную деятельность, руководителей г</w:t>
      </w:r>
      <w:r>
        <w:t xml:space="preserve">осударственных образовательных организаций Московской области, подведомственных Министерству образования Московской области, и педагогических работников муниципальных и частных организаций в Московской области, осуществляющих образовательную деятельность, </w:t>
      </w:r>
      <w:r>
        <w:t xml:space="preserve">утвержденного приказом министра образования Московской области от 18.08.2014 № 3705. </w:t>
      </w:r>
    </w:p>
    <w:p w:rsidR="00897A13" w:rsidRDefault="00E803E9">
      <w:pPr>
        <w:numPr>
          <w:ilvl w:val="0"/>
          <w:numId w:val="1"/>
        </w:numPr>
        <w:ind w:right="-7"/>
      </w:pPr>
      <w:r>
        <w:t>Положение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</w:t>
      </w:r>
      <w:r>
        <w:t>осударственных организаций Московской области, осуществляющих образовательную деятельность, руководителей государственных образовательных организаций Московской области, подведомственных Министерству образования Московской области, и педагогических работни</w:t>
      </w:r>
      <w:r>
        <w:t>ков муниципальных и частных организаций в Московской области, осуществляющих образовательную деятельность (далее, соответственно - экспертная группа; аттестационные комиссии Министерства образования Московской области) устанавливает нормативы трудозатрат и</w:t>
      </w:r>
      <w:r>
        <w:t xml:space="preserve"> порядок оплаты труда специалистов экспертных групп при аттестационных комиссиях Министерства образования Московской области при проведении экспертизы уровня профессиональной компетентности и результативности профессиональной деятельности педагогических ра</w:t>
      </w:r>
      <w:r>
        <w:t xml:space="preserve">ботников государственных образовательных организаций Московской области независимо от их ведомственного подчинения, педагогических работников </w:t>
      </w:r>
      <w:r>
        <w:lastRenderedPageBreak/>
        <w:t>муниципальных и частных организаций в Московской области, осуществляющих образовательную деятельность (далее - пед</w:t>
      </w:r>
      <w:r>
        <w:t xml:space="preserve">агогические работники) и руководителей государственных образовательных организаций Московской области, находящихся в ведомственном подчинении Министерства образования Московской области (далее - руководители).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1"/>
          <w:numId w:val="1"/>
        </w:numPr>
        <w:spacing w:after="5" w:line="269" w:lineRule="auto"/>
        <w:ind w:right="1094" w:hanging="10"/>
        <w:jc w:val="center"/>
      </w:pPr>
      <w:r>
        <w:t>Порядок оплаты труда специалистов экспертны</w:t>
      </w:r>
      <w:r>
        <w:t xml:space="preserve">х групп аттестационных комиссий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0"/>
          <w:numId w:val="1"/>
        </w:numPr>
        <w:ind w:right="-7"/>
      </w:pPr>
      <w:r>
        <w:t>Затраты на проведение экспертизы уровня профессиональной компетентности и результативности профессиональной деятельности педагогического работника или руководителя состоят из оплаты труда привлеченных специалистов, осущес</w:t>
      </w:r>
      <w:r>
        <w:t xml:space="preserve">твивших указанную экспертизу, и командировочных расходов специалистов.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При расчете оплаты труда специалистов экспертных групп аттестационных комиссий применяется почасовая оплата. </w:t>
      </w:r>
    </w:p>
    <w:p w:rsidR="00897A13" w:rsidRDefault="00E803E9">
      <w:pPr>
        <w:numPr>
          <w:ilvl w:val="0"/>
          <w:numId w:val="1"/>
        </w:numPr>
        <w:ind w:right="-7"/>
      </w:pPr>
      <w:r>
        <w:t>Ставки почасовой оплаты определяются исходя из размера тарифной ставки пер</w:t>
      </w:r>
      <w:r>
        <w:t xml:space="preserve">вого разряда тарифной сетки по оплате труда рабочих согласно </w:t>
      </w:r>
      <w:hyperlink r:id="rId5">
        <w:r>
          <w:t xml:space="preserve">приложению </w:t>
        </w:r>
      </w:hyperlink>
      <w:hyperlink r:id="rId6">
        <w:r>
          <w:t xml:space="preserve">№ </w:t>
        </w:r>
      </w:hyperlink>
      <w:hyperlink r:id="rId7">
        <w:r>
          <w:t>6</w:t>
        </w:r>
      </w:hyperlink>
      <w:hyperlink r:id="rId8">
        <w:r>
          <w:t xml:space="preserve"> </w:t>
        </w:r>
      </w:hyperlink>
      <w:r>
        <w:t xml:space="preserve">к </w:t>
      </w:r>
      <w:hyperlink r:id="rId9">
        <w:r>
          <w:t>Положению</w:t>
        </w:r>
      </w:hyperlink>
      <w:hyperlink r:id="rId10">
        <w:r>
          <w:t xml:space="preserve"> </w:t>
        </w:r>
      </w:hyperlink>
      <w:r>
        <w:t>об оплате труда работников государственных образовательных организаций Московской области, утвержденному постановлением Правительств</w:t>
      </w:r>
      <w:r>
        <w:t xml:space="preserve">а Московской области от 27.12.2013 №1186/58 </w:t>
      </w:r>
    </w:p>
    <w:p w:rsidR="00897A13" w:rsidRDefault="00E803E9">
      <w:pPr>
        <w:ind w:left="-15" w:right="-7" w:firstLine="0"/>
      </w:pPr>
      <w:r>
        <w:t xml:space="preserve">«Об оплате труда работников государственных образовательных организаций Московской области» (далее - Положение об оплате труда). </w:t>
      </w:r>
    </w:p>
    <w:p w:rsidR="00897A13" w:rsidRDefault="00E803E9">
      <w:pPr>
        <w:numPr>
          <w:ilvl w:val="0"/>
          <w:numId w:val="1"/>
        </w:numPr>
        <w:ind w:right="-7"/>
      </w:pPr>
      <w:r>
        <w:t>Оплата труда специалистов экспертных групп аттестационных комиссий производится п</w:t>
      </w:r>
      <w:r>
        <w:t xml:space="preserve">о ставкам часовой оплаты труда, предусмотренным для лиц, проводящих учебные занятия со студентами, в соответствии с </w:t>
      </w:r>
      <w:hyperlink r:id="rId11">
        <w:r>
          <w:t>Положе</w:t>
        </w:r>
        <w:r>
          <w:t>нием</w:t>
        </w:r>
      </w:hyperlink>
      <w:hyperlink r:id="rId12">
        <w:r>
          <w:t xml:space="preserve"> </w:t>
        </w:r>
      </w:hyperlink>
      <w:r>
        <w:t xml:space="preserve">об оплате труда. </w:t>
      </w:r>
    </w:p>
    <w:p w:rsidR="00897A13" w:rsidRDefault="00E803E9">
      <w:pPr>
        <w:numPr>
          <w:ilvl w:val="0"/>
          <w:numId w:val="1"/>
        </w:numPr>
        <w:ind w:right="-7"/>
      </w:pPr>
      <w:r>
        <w:t>Количество часов, необходимое специалисту для проведения экспертизы уровня профессиональной компете</w:t>
      </w:r>
      <w:r>
        <w:t>нтности и результативности профессиональной деятельности при проведении аттестации для установления соответствия уровня квалификации педагогических работников или руководителей требованиям, предъявляемым к квалификационным категориям (первой или высшей), о</w:t>
      </w:r>
      <w:r>
        <w:t xml:space="preserve">пределяется на основе нормативов трудозатрат в соответствии с разделом III настоящего Положения. </w:t>
      </w:r>
    </w:p>
    <w:p w:rsidR="00897A13" w:rsidRDefault="00E803E9">
      <w:pPr>
        <w:numPr>
          <w:ilvl w:val="0"/>
          <w:numId w:val="1"/>
        </w:numPr>
        <w:ind w:right="-7"/>
      </w:pPr>
      <w:r>
        <w:t>Оплата труда специалиста осуществляется на основании договора возмездного оказания услуг, заключенного в установленном законодательством порядке, и акта оказа</w:t>
      </w:r>
      <w:r>
        <w:t xml:space="preserve">ния услуг.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Финансовое обеспечение расходов на оплату труда специалистов </w:t>
      </w:r>
      <w:r>
        <w:t>экспертных групп аттестационных комиссий при проведении аттестации педагогических работников производится за счет средств, предусмотренных организации, осуществляющей образовательную деятельность, в котором работает аттестуемый педагогический работник, либ</w:t>
      </w:r>
      <w:r>
        <w:t>о органом местного самоуправления муниципального образования Московской области, осуществляющим управление в сфере образования, в образовательной организации которого работает аттестуемый педагогический работник, на проведение аттестации, повышение квалифи</w:t>
      </w:r>
      <w:r>
        <w:t xml:space="preserve">кации педагогических работников и руководителей образовательных организаций (в том числе командировочные расходы). </w:t>
      </w:r>
    </w:p>
    <w:p w:rsidR="00897A13" w:rsidRDefault="00E803E9">
      <w:pPr>
        <w:numPr>
          <w:ilvl w:val="0"/>
          <w:numId w:val="1"/>
        </w:numPr>
        <w:ind w:right="-7"/>
      </w:pPr>
      <w:r>
        <w:t>Финансовое обеспечение расходов на оплату труда специалистов экспертных групп аттестационных комиссий при проведении аттестации руководителе</w:t>
      </w:r>
      <w:r>
        <w:t xml:space="preserve">й производится за счет средств, предусмотренных организации, осуществляющей образовательную деятельность, в которой работает аттестуемый руководитель, на проведение аттестации, повышение </w:t>
      </w:r>
      <w:r>
        <w:lastRenderedPageBreak/>
        <w:t>квалификации педагогических работников и руководителей образовательны</w:t>
      </w:r>
      <w:r>
        <w:t xml:space="preserve">х организаций (в том числе командировочные расходы).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Оплата труда государственных гражданских служащих Московской области и муниципальных служащих Московской области, являющихся специалистами экспертных групп аттестационных комиссий, не производится. </w:t>
      </w:r>
    </w:p>
    <w:p w:rsidR="00897A13" w:rsidRDefault="00E803E9">
      <w:pPr>
        <w:spacing w:after="23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1"/>
          <w:numId w:val="1"/>
        </w:numPr>
        <w:spacing w:after="5" w:line="269" w:lineRule="auto"/>
        <w:ind w:right="1094" w:hanging="10"/>
        <w:jc w:val="center"/>
      </w:pPr>
      <w:r>
        <w:t xml:space="preserve">Нормативы трудозатрат при проведении экспертизы уровня профессиональной компетентности и результативности профессиональной деятельности педагогических работников и руководителей образовательных организаций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0"/>
          <w:numId w:val="1"/>
        </w:numPr>
        <w:ind w:right="-7"/>
      </w:pPr>
      <w:r>
        <w:t>При проведении экспертизы уровня профессиональн</w:t>
      </w:r>
      <w:r>
        <w:t>ой компетентности и результативности профессиональной деятельности при аттестации педагогических работников и руководителей на квалификационные категории (первую или высшую) устанавливаются следующие нормы времени на одного аттестуемого педагогического раб</w:t>
      </w:r>
      <w:r>
        <w:t xml:space="preserve">отника или руководителя: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362" w:type="dxa"/>
        <w:tblInd w:w="0" w:type="dxa"/>
        <w:tblCellMar>
          <w:top w:w="12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62"/>
        <w:gridCol w:w="1440"/>
        <w:gridCol w:w="1440"/>
      </w:tblGrid>
      <w:tr w:rsidR="00897A13">
        <w:trPr>
          <w:trHeight w:val="62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16" w:line="259" w:lineRule="auto"/>
              <w:ind w:left="170" w:firstLine="0"/>
              <w:jc w:val="left"/>
            </w:pPr>
            <w:r>
              <w:t xml:space="preserve">№ </w:t>
            </w:r>
          </w:p>
          <w:p w:rsidR="00897A13" w:rsidRDefault="00E803E9">
            <w:pPr>
              <w:spacing w:after="0" w:line="259" w:lineRule="auto"/>
              <w:ind w:left="0" w:right="76" w:firstLine="0"/>
              <w:jc w:val="center"/>
            </w:pPr>
            <w:r>
              <w:t xml:space="preserve">п/п 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right="78" w:firstLine="0"/>
              <w:jc w:val="center"/>
            </w:pPr>
            <w:r>
              <w:t xml:space="preserve">Виды экспертной деятельности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right="7" w:firstLine="0"/>
              <w:jc w:val="center"/>
            </w:pPr>
            <w:r>
              <w:t xml:space="preserve">Нормативы времени (часы) </w:t>
            </w:r>
          </w:p>
        </w:tc>
      </w:tr>
      <w:tr w:rsidR="00897A13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897A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897A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center"/>
            </w:pPr>
            <w:r>
              <w:t xml:space="preserve">На </w:t>
            </w:r>
            <w:proofErr w:type="gramStart"/>
            <w:r>
              <w:t>высшую  категорию</w:t>
            </w:r>
            <w:proofErr w:type="gramEnd"/>
            <w:r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center"/>
            </w:pPr>
            <w:r>
              <w:t xml:space="preserve">На </w:t>
            </w:r>
            <w:proofErr w:type="gramStart"/>
            <w:r>
              <w:t>первую  категорию</w:t>
            </w:r>
            <w:proofErr w:type="gramEnd"/>
            <w:r>
              <w:t xml:space="preserve">  </w:t>
            </w:r>
          </w:p>
        </w:tc>
      </w:tr>
      <w:tr w:rsidR="00897A13">
        <w:trPr>
          <w:trHeight w:val="241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77" w:lineRule="auto"/>
              <w:ind w:left="0" w:firstLine="0"/>
            </w:pPr>
            <w:r>
              <w:t xml:space="preserve">При аттестации педагогических работников - изучение учебно-педагогической деятельности. </w:t>
            </w:r>
          </w:p>
          <w:p w:rsidR="00897A13" w:rsidRDefault="00E803E9">
            <w:pPr>
              <w:spacing w:after="0" w:line="259" w:lineRule="auto"/>
              <w:ind w:left="0" w:firstLine="0"/>
            </w:pPr>
            <w:r>
              <w:t xml:space="preserve">При аттестации руководителей - изучение профессионально-управленческой деятельности.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3 часа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2 часа </w:t>
            </w:r>
          </w:p>
        </w:tc>
      </w:tr>
      <w:tr w:rsidR="00897A13">
        <w:trPr>
          <w:trHeight w:val="84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right="78" w:firstLine="0"/>
            </w:pPr>
            <w:r>
              <w:t xml:space="preserve">Изучение документации, анализ результатов педагогической (для руководителей - управленческой) деятельности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3 часа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2 часа </w:t>
            </w:r>
          </w:p>
        </w:tc>
      </w:tr>
      <w:tr w:rsidR="00897A13">
        <w:trPr>
          <w:trHeight w:val="29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Собеседование с аттестуемым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1 час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1 час </w:t>
            </w:r>
          </w:p>
        </w:tc>
      </w:tr>
      <w:tr w:rsidR="00897A13">
        <w:trPr>
          <w:trHeight w:val="29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Оформление экспертного заключения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1 час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1 час </w:t>
            </w:r>
          </w:p>
        </w:tc>
      </w:tr>
      <w:tr w:rsidR="00897A13">
        <w:trPr>
          <w:trHeight w:val="29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8 часов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13" w:rsidRDefault="00E803E9">
            <w:pPr>
              <w:spacing w:after="0" w:line="259" w:lineRule="auto"/>
              <w:ind w:left="0" w:firstLine="0"/>
              <w:jc w:val="left"/>
            </w:pPr>
            <w:r>
              <w:t xml:space="preserve">6 часов </w:t>
            </w:r>
          </w:p>
        </w:tc>
      </w:tr>
    </w:tbl>
    <w:p w:rsidR="00897A13" w:rsidRDefault="00E803E9">
      <w:pPr>
        <w:spacing w:after="23" w:line="259" w:lineRule="auto"/>
        <w:ind w:left="540" w:firstLine="0"/>
        <w:jc w:val="left"/>
      </w:pPr>
      <w:r>
        <w:t xml:space="preserve">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Норматив </w:t>
      </w:r>
      <w:r>
        <w:t xml:space="preserve">затрат на одного аттестуемого определяется путем умножения нормы часов, затраченных на экспертизу, на стоимость одного часа. </w:t>
      </w:r>
    </w:p>
    <w:p w:rsidR="00897A13" w:rsidRDefault="00E803E9">
      <w:pPr>
        <w:numPr>
          <w:ilvl w:val="0"/>
          <w:numId w:val="1"/>
        </w:numPr>
        <w:ind w:right="-7"/>
      </w:pPr>
      <w:r>
        <w:t xml:space="preserve">Стоимость одного часа работы специалиста устанавливается на основании пункта 5 раздела II настоящего Положения. </w:t>
      </w:r>
    </w:p>
    <w:p w:rsidR="00897A13" w:rsidRDefault="00E803E9">
      <w:pPr>
        <w:numPr>
          <w:ilvl w:val="0"/>
          <w:numId w:val="1"/>
        </w:numPr>
        <w:ind w:right="-7"/>
      </w:pPr>
      <w:r>
        <w:t>При проведении эк</w:t>
      </w:r>
      <w:r>
        <w:t xml:space="preserve">спертизы несколькими специалистами суммарное количество часов, затраченных на экспертизу каждым специалистом, не должно превышать 8 часов при аттестации на высшую квалификационную категорию, 6 часов - при аттестации на первую квалификационную категорию. </w:t>
      </w:r>
    </w:p>
    <w:p w:rsidR="00897A13" w:rsidRDefault="00E803E9">
      <w:pPr>
        <w:numPr>
          <w:ilvl w:val="0"/>
          <w:numId w:val="1"/>
        </w:numPr>
        <w:ind w:right="-7"/>
      </w:pPr>
      <w:r>
        <w:t>О</w:t>
      </w:r>
      <w:r>
        <w:t xml:space="preserve">плата труда специалистов экспертных групп при аттестационных комиссиях производится за фактически отработанное количество часов. </w:t>
      </w:r>
    </w:p>
    <w:p w:rsidR="00897A13" w:rsidRDefault="00E803E9">
      <w:pPr>
        <w:spacing w:after="0" w:line="259" w:lineRule="auto"/>
        <w:ind w:left="540" w:firstLine="0"/>
        <w:jc w:val="left"/>
      </w:pPr>
      <w:r>
        <w:t xml:space="preserve"> </w:t>
      </w:r>
    </w:p>
    <w:sectPr w:rsidR="00897A13">
      <w:pgSz w:w="11904" w:h="16838"/>
      <w:pgMar w:top="897" w:right="560" w:bottom="109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BCB"/>
    <w:multiLevelType w:val="hybridMultilevel"/>
    <w:tmpl w:val="00589FF0"/>
    <w:lvl w:ilvl="0" w:tplc="2CAC06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48BBA">
      <w:start w:val="2"/>
      <w:numFmt w:val="upperRoman"/>
      <w:lvlRestart w:val="0"/>
      <w:lvlText w:val="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588">
      <w:start w:val="1"/>
      <w:numFmt w:val="lowerRoman"/>
      <w:lvlText w:val="%3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00194">
      <w:start w:val="1"/>
      <w:numFmt w:val="decimal"/>
      <w:lvlText w:val="%4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0C40">
      <w:start w:val="1"/>
      <w:numFmt w:val="lowerLetter"/>
      <w:lvlText w:val="%5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58E">
      <w:start w:val="1"/>
      <w:numFmt w:val="lowerRoman"/>
      <w:lvlText w:val="%6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07106">
      <w:start w:val="1"/>
      <w:numFmt w:val="decimal"/>
      <w:lvlText w:val="%7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E776C">
      <w:start w:val="1"/>
      <w:numFmt w:val="lowerLetter"/>
      <w:lvlText w:val="%8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E83E">
      <w:start w:val="1"/>
      <w:numFmt w:val="lowerRoman"/>
      <w:lvlText w:val="%9"/>
      <w:lvlJc w:val="left"/>
      <w:pPr>
        <w:ind w:left="7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3"/>
    <w:rsid w:val="00897A13"/>
    <w:rsid w:val="00E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3E2-BDC9-4CF4-B8D0-D225C8F2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4094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D905ED1245096F6A6A7EAC76BCA65922F1F9A147419ED9A161127EF99363CF1FB077B6184826j0P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1D905ED1245096F6A6A7EAC76BCA65922F1F9A147419ED9A161127EF99363CF1FB077B6184826j0P0L" TargetMode="External"/><Relationship Id="rId12" Type="http://schemas.openxmlformats.org/officeDocument/2006/relationships/hyperlink" Target="consultantplus://offline/ref=EE01D905ED1245096F6A6A7EAC76BCA65922F1F9A147419ED9A161127EF99363CF1FB077B6184D2Dj0P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1D905ED1245096F6A6A7EAC76BCA65922F1F9A147419ED9A161127EF99363CF1FB077B6184826j0P0L" TargetMode="External"/><Relationship Id="rId11" Type="http://schemas.openxmlformats.org/officeDocument/2006/relationships/hyperlink" Target="consultantplus://offline/ref=EE01D905ED1245096F6A6A7EAC76BCA65922F1F9A147419ED9A161127EF99363CF1FB077B6184D2Dj0PEL" TargetMode="External"/><Relationship Id="rId5" Type="http://schemas.openxmlformats.org/officeDocument/2006/relationships/hyperlink" Target="consultantplus://offline/ref=EE01D905ED1245096F6A6A7EAC76BCA65922F1F9A147419ED9A161127EF99363CF1FB077B6184826j0P0L" TargetMode="External"/><Relationship Id="rId10" Type="http://schemas.openxmlformats.org/officeDocument/2006/relationships/hyperlink" Target="consultantplus://offline/ref=EE01D905ED1245096F6A6A7EAC76BCA65922F1F9A147419ED9A161127EF99363CF1FB077B6184D2Dj0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D905ED1245096F6A6A7EAC76BCA65922F1F9A147419ED9A161127EF99363CF1FB077B6184D2Dj0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</dc:creator>
  <cp:keywords/>
  <cp:lastModifiedBy>HP</cp:lastModifiedBy>
  <cp:revision>2</cp:revision>
  <dcterms:created xsi:type="dcterms:W3CDTF">2018-12-06T13:54:00Z</dcterms:created>
  <dcterms:modified xsi:type="dcterms:W3CDTF">2018-12-06T13:54:00Z</dcterms:modified>
</cp:coreProperties>
</file>